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9521A">
      <w:pPr>
        <w:pStyle w:val="16"/>
        <w:bidi w:val="0"/>
        <w:rPr>
          <w:rFonts w:hint="default"/>
          <w:lang w:val="en-US" w:eastAsia="ja-JP"/>
        </w:rPr>
      </w:pPr>
      <w:r>
        <w:rPr>
          <w:rFonts w:hint="default"/>
          <w:lang w:val="en-US" w:eastAsia="ja-JP"/>
        </w:rPr>
        <w:drawing>
          <wp:inline distT="0" distB="0" distL="114300" distR="114300">
            <wp:extent cx="3059430" cy="422910"/>
            <wp:effectExtent l="0" t="0" r="0" b="3810"/>
            <wp:docPr id="2" name="図形 2"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head"/>
                    <pic:cNvPicPr>
                      <a:picLocks noChangeAspect="1"/>
                    </pic:cNvPicPr>
                  </pic:nvPicPr>
                  <pic:blipFill>
                    <a:blip r:embed="rId9"/>
                    <a:stretch>
                      <a:fillRect/>
                    </a:stretch>
                  </pic:blipFill>
                  <pic:spPr>
                    <a:xfrm>
                      <a:off x="0" y="0"/>
                      <a:ext cx="3059430" cy="422910"/>
                    </a:xfrm>
                    <a:prstGeom prst="rect">
                      <a:avLst/>
                    </a:prstGeom>
                  </pic:spPr>
                </pic:pic>
              </a:graphicData>
            </a:graphic>
          </wp:inline>
        </w:drawing>
      </w:r>
    </w:p>
    <w:p w14:paraId="2A001627">
      <w:pPr>
        <w:pStyle w:val="16"/>
        <w:bidi w:val="0"/>
        <w:rPr>
          <w:rFonts w:hint="default"/>
          <w:lang w:val="en-US" w:eastAsia="ja-JP"/>
        </w:rPr>
      </w:pPr>
    </w:p>
    <w:p w14:paraId="28B8BE44">
      <w:pPr>
        <w:pStyle w:val="16"/>
        <w:bidi w:val="0"/>
        <w:rPr>
          <w:rFonts w:hint="default"/>
          <w:lang w:val="en-US" w:eastAsia="ja-JP"/>
        </w:rPr>
      </w:pPr>
    </w:p>
    <w:p w14:paraId="0548BEE4">
      <w:pPr>
        <w:pStyle w:val="16"/>
        <w:bidi w:val="0"/>
        <w:rPr>
          <w:rFonts w:hint="default"/>
          <w:lang w:val="en-US" w:eastAsia="ja-JP"/>
        </w:rPr>
      </w:pPr>
    </w:p>
    <w:p w14:paraId="022178E4">
      <w:pPr>
        <w:pStyle w:val="16"/>
        <w:bidi w:val="0"/>
        <w:rPr>
          <w:rFonts w:hint="default"/>
          <w:lang w:val="en-US" w:eastAsia="ja-JP"/>
        </w:rPr>
      </w:pPr>
    </w:p>
    <w:p w14:paraId="00F9E695">
      <w:pPr>
        <w:pStyle w:val="17"/>
        <w:bidi w:val="0"/>
        <w:rPr>
          <w:rFonts w:hint="default"/>
          <w:lang w:val="en-US" w:eastAsia="ja-JP"/>
        </w:rPr>
      </w:pPr>
      <w:r>
        <w:rPr>
          <w:rFonts w:hint="eastAsia"/>
          <w:lang w:val="en-US" w:eastAsia="ja-JP"/>
        </w:rPr>
        <w:t>現場増員インセンティブ規程</w:t>
      </w:r>
    </w:p>
    <w:p w14:paraId="2B997275">
      <w:pPr>
        <w:pStyle w:val="16"/>
        <w:bidi w:val="0"/>
        <w:rPr>
          <w:rFonts w:hint="eastAsia"/>
          <w:lang w:val="en-US" w:eastAsia="ja-JP"/>
        </w:rPr>
      </w:pPr>
    </w:p>
    <w:p w14:paraId="79798C36">
      <w:pPr>
        <w:pStyle w:val="16"/>
        <w:bidi w:val="0"/>
        <w:rPr>
          <w:rFonts w:hint="eastAsia"/>
          <w:lang w:val="en-US" w:eastAsia="ja-JP"/>
        </w:rPr>
      </w:pPr>
    </w:p>
    <w:p w14:paraId="19289F81">
      <w:pPr>
        <w:pStyle w:val="16"/>
        <w:bidi w:val="0"/>
        <w:rPr>
          <w:rFonts w:hint="eastAsia"/>
          <w:lang w:val="en-US" w:eastAsia="ja-JP"/>
        </w:rPr>
      </w:pPr>
    </w:p>
    <w:p w14:paraId="0B35E657">
      <w:pPr>
        <w:pStyle w:val="18"/>
        <w:bidi w:val="0"/>
        <w:rPr>
          <w:rFonts w:hint="eastAsia"/>
          <w:lang w:val="en-US" w:eastAsia="ja-JP"/>
        </w:rPr>
      </w:pPr>
    </w:p>
    <w:p w14:paraId="288F0F7A">
      <w:pPr>
        <w:pStyle w:val="18"/>
        <w:bidi w:val="0"/>
        <w:rPr>
          <w:rFonts w:hint="eastAsia"/>
          <w:lang w:val="en-US" w:eastAsia="ja-JP"/>
        </w:rPr>
      </w:pPr>
    </w:p>
    <w:p w14:paraId="28C1A722">
      <w:pPr>
        <w:pStyle w:val="18"/>
        <w:bidi w:val="0"/>
        <w:rPr>
          <w:rFonts w:hint="eastAsia"/>
          <w:lang w:val="en-US" w:eastAsia="ja-JP"/>
        </w:rPr>
      </w:pPr>
    </w:p>
    <w:p w14:paraId="23A3A3E6">
      <w:pPr>
        <w:pStyle w:val="18"/>
        <w:bidi w:val="0"/>
        <w:rPr>
          <w:rFonts w:hint="eastAsia"/>
          <w:lang w:val="en-US" w:eastAsia="ja-JP"/>
        </w:rPr>
      </w:pPr>
    </w:p>
    <w:p w14:paraId="76498AE0">
      <w:pPr>
        <w:pStyle w:val="18"/>
        <w:bidi w:val="0"/>
        <w:rPr>
          <w:rFonts w:hint="eastAsia"/>
          <w:lang w:val="en-US" w:eastAsia="ja-JP"/>
        </w:rPr>
      </w:pPr>
    </w:p>
    <w:p w14:paraId="48E096DD">
      <w:pPr>
        <w:pStyle w:val="18"/>
        <w:bidi w:val="0"/>
        <w:rPr>
          <w:rFonts w:hint="eastAsia"/>
          <w:lang w:val="en-US" w:eastAsia="ja-JP"/>
        </w:rPr>
      </w:pPr>
    </w:p>
    <w:p w14:paraId="0FC1AED1">
      <w:pPr>
        <w:pStyle w:val="18"/>
        <w:bidi w:val="0"/>
        <w:rPr>
          <w:rFonts w:hint="default"/>
          <w:lang w:val="en-US" w:eastAsia="ja-JP"/>
        </w:rPr>
      </w:pPr>
      <w:r>
        <w:rPr>
          <w:rFonts w:hint="eastAsia"/>
          <w:lang w:val="en-US" w:eastAsia="ja-JP"/>
        </w:rPr>
        <w:t>V1.00</w:t>
      </w:r>
    </w:p>
    <w:p w14:paraId="539CF5B4">
      <w:pPr>
        <w:pStyle w:val="18"/>
        <w:bidi w:val="0"/>
        <w:rPr>
          <w:rFonts w:hint="default"/>
          <w:lang w:val="en-US" w:eastAsia="ja-JP"/>
        </w:rPr>
      </w:pPr>
      <w:r>
        <w:rPr>
          <w:rFonts w:hint="eastAsia"/>
          <w:lang w:val="en-US" w:eastAsia="ja-JP"/>
        </w:rPr>
        <w:t>2025/12/20</w:t>
      </w:r>
    </w:p>
    <w:p w14:paraId="3B3E59F4">
      <w:pPr>
        <w:pStyle w:val="16"/>
        <w:bidi w:val="0"/>
        <w:rPr>
          <w:rFonts w:hint="eastAsia"/>
          <w:lang w:val="en-US" w:eastAsia="ja-JP"/>
        </w:rPr>
      </w:pPr>
    </w:p>
    <w:p w14:paraId="4936070C">
      <w:pPr>
        <w:pStyle w:val="16"/>
        <w:bidi w:val="0"/>
        <w:rPr>
          <w:rFonts w:hint="eastAsia"/>
          <w:lang w:val="en-US" w:eastAsia="ja-JP"/>
        </w:rPr>
      </w:pPr>
    </w:p>
    <w:p w14:paraId="5D56B9A5">
      <w:pPr>
        <w:pStyle w:val="16"/>
        <w:bidi w:val="0"/>
        <w:rPr>
          <w:rFonts w:hint="eastAsia"/>
          <w:lang w:val="en-US" w:eastAsia="ja-JP"/>
        </w:rPr>
      </w:pPr>
    </w:p>
    <w:p w14:paraId="6CED468E">
      <w:pPr>
        <w:pStyle w:val="16"/>
        <w:bidi w:val="0"/>
        <w:rPr>
          <w:rFonts w:hint="eastAsia"/>
          <w:lang w:val="en-US" w:eastAsia="ja-JP"/>
        </w:rPr>
      </w:pPr>
    </w:p>
    <w:p w14:paraId="5A95AFFF">
      <w:pPr>
        <w:pStyle w:val="16"/>
        <w:bidi w:val="0"/>
        <w:rPr>
          <w:rFonts w:hint="eastAsia"/>
          <w:lang w:val="en-US" w:eastAsia="ja-JP"/>
        </w:rPr>
      </w:pPr>
    </w:p>
    <w:p w14:paraId="1AACF827">
      <w:pPr>
        <w:pStyle w:val="16"/>
        <w:bidi w:val="0"/>
        <w:rPr>
          <w:rFonts w:hint="eastAsia"/>
          <w:lang w:val="en-US" w:eastAsia="ja-JP"/>
        </w:rPr>
      </w:pPr>
    </w:p>
    <w:p w14:paraId="23FCB81F">
      <w:pPr>
        <w:pStyle w:val="16"/>
        <w:bidi w:val="0"/>
        <w:rPr>
          <w:rFonts w:hint="eastAsia"/>
          <w:lang w:val="en-US" w:eastAsia="ja-JP"/>
        </w:rPr>
        <w:sectPr>
          <w:headerReference r:id="rId5" w:type="default"/>
          <w:pgSz w:w="11906" w:h="16838"/>
          <w:pgMar w:top="1701" w:right="1134" w:bottom="1701" w:left="1134" w:header="851" w:footer="992" w:gutter="0"/>
          <w:pgNumType w:fmt="numberInDash" w:start="1"/>
          <w:cols w:space="0" w:num="1"/>
          <w:titlePg/>
          <w:rtlGutter w:val="0"/>
          <w:docGrid w:type="linesAndChars" w:linePitch="505" w:charSpace="12482"/>
        </w:sectPr>
      </w:pPr>
    </w:p>
    <w:p w14:paraId="0440A209">
      <w:pPr>
        <w:pStyle w:val="16"/>
        <w:bidi w:val="0"/>
        <w:rPr>
          <w:rFonts w:hint="eastAsia"/>
          <w:lang w:val="en-US" w:eastAsia="ja-JP"/>
        </w:rPr>
      </w:pPr>
      <w:r>
        <w:rPr>
          <w:rFonts w:hint="eastAsia"/>
          <w:lang w:val="en-US" w:eastAsia="ja-JP"/>
        </w:rPr>
        <w:t>変更履歴</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47"/>
        <w:gridCol w:w="5413"/>
        <w:gridCol w:w="1494"/>
        <w:gridCol w:w="1399"/>
      </w:tblGrid>
      <w:tr w14:paraId="59ED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shd w:val="clear" w:color="auto" w:fill="E2EFDA" w:themeFill="accent6" w:themeFillTint="32"/>
          </w:tcPr>
          <w:p w14:paraId="584C70E2">
            <w:pPr>
              <w:pStyle w:val="16"/>
              <w:bidi w:val="0"/>
              <w:rPr>
                <w:rFonts w:hint="default"/>
                <w:vertAlign w:val="baseline"/>
                <w:lang w:val="en-US" w:eastAsia="ja-JP"/>
              </w:rPr>
            </w:pPr>
            <w:r>
              <w:rPr>
                <w:rFonts w:hint="eastAsia"/>
                <w:vertAlign w:val="baseline"/>
                <w:lang w:val="en-US" w:eastAsia="ja-JP"/>
              </w:rPr>
              <w:t>No.</w:t>
            </w:r>
          </w:p>
        </w:tc>
        <w:tc>
          <w:tcPr>
            <w:tcW w:w="947" w:type="dxa"/>
            <w:shd w:val="clear" w:color="auto" w:fill="E2EFDA" w:themeFill="accent6" w:themeFillTint="32"/>
          </w:tcPr>
          <w:p w14:paraId="3B85234C">
            <w:pPr>
              <w:pStyle w:val="16"/>
              <w:bidi w:val="0"/>
              <w:rPr>
                <w:rFonts w:hint="eastAsia"/>
                <w:vertAlign w:val="baseline"/>
                <w:lang w:val="en-US" w:eastAsia="ja-JP"/>
              </w:rPr>
            </w:pPr>
            <w:r>
              <w:rPr>
                <w:rFonts w:hint="eastAsia"/>
                <w:vertAlign w:val="baseline"/>
                <w:lang w:val="en-US" w:eastAsia="ja-JP"/>
              </w:rPr>
              <w:t>版数</w:t>
            </w:r>
          </w:p>
        </w:tc>
        <w:tc>
          <w:tcPr>
            <w:tcW w:w="5413" w:type="dxa"/>
            <w:shd w:val="clear" w:color="auto" w:fill="E2EFDA" w:themeFill="accent6" w:themeFillTint="32"/>
          </w:tcPr>
          <w:p w14:paraId="1BADCA21">
            <w:pPr>
              <w:pStyle w:val="16"/>
              <w:bidi w:val="0"/>
              <w:rPr>
                <w:rFonts w:hint="eastAsia"/>
                <w:vertAlign w:val="baseline"/>
                <w:lang w:val="en-US" w:eastAsia="ja-JP"/>
              </w:rPr>
            </w:pPr>
            <w:r>
              <w:rPr>
                <w:rFonts w:hint="eastAsia"/>
                <w:vertAlign w:val="baseline"/>
                <w:lang w:val="en-US" w:eastAsia="ja-JP"/>
              </w:rPr>
              <w:t>変更内容</w:t>
            </w:r>
          </w:p>
        </w:tc>
        <w:tc>
          <w:tcPr>
            <w:tcW w:w="1494" w:type="dxa"/>
            <w:shd w:val="clear" w:color="auto" w:fill="E2EFDA" w:themeFill="accent6" w:themeFillTint="32"/>
          </w:tcPr>
          <w:p w14:paraId="73D5031B">
            <w:pPr>
              <w:pStyle w:val="16"/>
              <w:bidi w:val="0"/>
              <w:rPr>
                <w:rFonts w:hint="eastAsia"/>
                <w:vertAlign w:val="baseline"/>
                <w:lang w:val="en-US" w:eastAsia="ja-JP"/>
              </w:rPr>
            </w:pPr>
            <w:r>
              <w:rPr>
                <w:rFonts w:hint="eastAsia"/>
                <w:vertAlign w:val="baseline"/>
                <w:lang w:val="en-US" w:eastAsia="ja-JP"/>
              </w:rPr>
              <w:t>変更日</w:t>
            </w:r>
          </w:p>
        </w:tc>
        <w:tc>
          <w:tcPr>
            <w:tcW w:w="1399" w:type="dxa"/>
            <w:shd w:val="clear" w:color="auto" w:fill="E2EFDA" w:themeFill="accent6" w:themeFillTint="32"/>
          </w:tcPr>
          <w:p w14:paraId="123456E0">
            <w:pPr>
              <w:pStyle w:val="16"/>
              <w:bidi w:val="0"/>
              <w:rPr>
                <w:rFonts w:hint="eastAsia"/>
                <w:vertAlign w:val="baseline"/>
                <w:lang w:val="en-US" w:eastAsia="ja-JP"/>
              </w:rPr>
            </w:pPr>
            <w:r>
              <w:rPr>
                <w:rFonts w:hint="eastAsia"/>
                <w:vertAlign w:val="baseline"/>
                <w:lang w:val="en-US" w:eastAsia="ja-JP"/>
              </w:rPr>
              <w:t>変更者</w:t>
            </w:r>
          </w:p>
        </w:tc>
      </w:tr>
      <w:tr w14:paraId="4A22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7D56890D">
            <w:pPr>
              <w:pStyle w:val="16"/>
              <w:bidi w:val="0"/>
              <w:rPr>
                <w:rFonts w:hint="default"/>
                <w:vertAlign w:val="baseline"/>
                <w:lang w:val="en-US" w:eastAsia="ja-JP"/>
              </w:rPr>
            </w:pPr>
            <w:r>
              <w:rPr>
                <w:rFonts w:hint="eastAsia"/>
                <w:vertAlign w:val="baseline"/>
                <w:lang w:val="en-US" w:eastAsia="ja-JP"/>
              </w:rPr>
              <w:t>1</w:t>
            </w:r>
          </w:p>
        </w:tc>
        <w:tc>
          <w:tcPr>
            <w:tcW w:w="947" w:type="dxa"/>
          </w:tcPr>
          <w:p w14:paraId="788281DF">
            <w:pPr>
              <w:pStyle w:val="16"/>
              <w:bidi w:val="0"/>
              <w:rPr>
                <w:rFonts w:hint="default"/>
                <w:vertAlign w:val="baseline"/>
                <w:lang w:val="en-US" w:eastAsia="ja-JP"/>
              </w:rPr>
            </w:pPr>
            <w:r>
              <w:rPr>
                <w:rFonts w:hint="eastAsia"/>
                <w:vertAlign w:val="baseline"/>
                <w:lang w:val="en-US" w:eastAsia="ja-JP"/>
              </w:rPr>
              <w:t>V1.00</w:t>
            </w:r>
          </w:p>
        </w:tc>
        <w:tc>
          <w:tcPr>
            <w:tcW w:w="5413" w:type="dxa"/>
          </w:tcPr>
          <w:p w14:paraId="15520680">
            <w:pPr>
              <w:pStyle w:val="16"/>
              <w:bidi w:val="0"/>
              <w:rPr>
                <w:rFonts w:hint="default"/>
                <w:vertAlign w:val="baseline"/>
                <w:lang w:val="en-US" w:eastAsia="ja-JP"/>
              </w:rPr>
            </w:pPr>
            <w:r>
              <w:rPr>
                <w:rFonts w:hint="eastAsia"/>
                <w:vertAlign w:val="baseline"/>
                <w:lang w:val="en-US" w:eastAsia="ja-JP"/>
              </w:rPr>
              <w:t>初版作成</w:t>
            </w:r>
          </w:p>
        </w:tc>
        <w:tc>
          <w:tcPr>
            <w:tcW w:w="1494" w:type="dxa"/>
          </w:tcPr>
          <w:p w14:paraId="0B9DD764">
            <w:pPr>
              <w:pStyle w:val="16"/>
              <w:bidi w:val="0"/>
              <w:rPr>
                <w:rFonts w:hint="default"/>
                <w:vertAlign w:val="baseline"/>
                <w:lang w:val="en-US" w:eastAsia="ja-JP"/>
              </w:rPr>
            </w:pPr>
            <w:r>
              <w:rPr>
                <w:rFonts w:hint="eastAsia"/>
                <w:vertAlign w:val="baseline"/>
                <w:lang w:val="en-US" w:eastAsia="ja-JP"/>
              </w:rPr>
              <w:t>2025/12/20</w:t>
            </w:r>
          </w:p>
        </w:tc>
        <w:tc>
          <w:tcPr>
            <w:tcW w:w="1399" w:type="dxa"/>
          </w:tcPr>
          <w:p w14:paraId="1C9F3101">
            <w:pPr>
              <w:pStyle w:val="16"/>
              <w:bidi w:val="0"/>
              <w:rPr>
                <w:rFonts w:hint="default"/>
                <w:vertAlign w:val="baseline"/>
                <w:lang w:val="en-US" w:eastAsia="ja-JP"/>
              </w:rPr>
            </w:pPr>
          </w:p>
        </w:tc>
      </w:tr>
      <w:tr w14:paraId="7204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E8EFD74">
            <w:pPr>
              <w:pStyle w:val="16"/>
              <w:bidi w:val="0"/>
              <w:rPr>
                <w:rFonts w:hint="eastAsia"/>
                <w:vertAlign w:val="baseline"/>
                <w:lang w:val="en-US" w:eastAsia="ja-JP"/>
              </w:rPr>
            </w:pPr>
          </w:p>
        </w:tc>
        <w:tc>
          <w:tcPr>
            <w:tcW w:w="947" w:type="dxa"/>
          </w:tcPr>
          <w:p w14:paraId="38056A4F">
            <w:pPr>
              <w:pStyle w:val="16"/>
              <w:bidi w:val="0"/>
              <w:rPr>
                <w:rFonts w:hint="eastAsia"/>
                <w:vertAlign w:val="baseline"/>
                <w:lang w:val="en-US" w:eastAsia="ja-JP"/>
              </w:rPr>
            </w:pPr>
          </w:p>
        </w:tc>
        <w:tc>
          <w:tcPr>
            <w:tcW w:w="5413" w:type="dxa"/>
          </w:tcPr>
          <w:p w14:paraId="3F18CA1B">
            <w:pPr>
              <w:pStyle w:val="16"/>
              <w:bidi w:val="0"/>
              <w:rPr>
                <w:rFonts w:hint="eastAsia"/>
                <w:vertAlign w:val="baseline"/>
                <w:lang w:val="en-US" w:eastAsia="ja-JP"/>
              </w:rPr>
            </w:pPr>
          </w:p>
        </w:tc>
        <w:tc>
          <w:tcPr>
            <w:tcW w:w="1494" w:type="dxa"/>
          </w:tcPr>
          <w:p w14:paraId="6023158F">
            <w:pPr>
              <w:pStyle w:val="16"/>
              <w:bidi w:val="0"/>
              <w:rPr>
                <w:rFonts w:hint="eastAsia"/>
                <w:vertAlign w:val="baseline"/>
                <w:lang w:val="en-US" w:eastAsia="ja-JP"/>
              </w:rPr>
            </w:pPr>
          </w:p>
        </w:tc>
        <w:tc>
          <w:tcPr>
            <w:tcW w:w="1399" w:type="dxa"/>
          </w:tcPr>
          <w:p w14:paraId="786FF76D">
            <w:pPr>
              <w:pStyle w:val="16"/>
              <w:bidi w:val="0"/>
              <w:rPr>
                <w:rFonts w:hint="eastAsia"/>
                <w:vertAlign w:val="baseline"/>
                <w:lang w:val="en-US" w:eastAsia="ja-JP"/>
              </w:rPr>
            </w:pPr>
          </w:p>
        </w:tc>
      </w:tr>
      <w:tr w14:paraId="56E4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9E44E21">
            <w:pPr>
              <w:pStyle w:val="16"/>
              <w:bidi w:val="0"/>
              <w:rPr>
                <w:rFonts w:hint="eastAsia"/>
                <w:vertAlign w:val="baseline"/>
                <w:lang w:val="en-US" w:eastAsia="ja-JP"/>
              </w:rPr>
            </w:pPr>
          </w:p>
        </w:tc>
        <w:tc>
          <w:tcPr>
            <w:tcW w:w="947" w:type="dxa"/>
          </w:tcPr>
          <w:p w14:paraId="50246C13">
            <w:pPr>
              <w:pStyle w:val="16"/>
              <w:bidi w:val="0"/>
              <w:rPr>
                <w:rFonts w:hint="eastAsia"/>
                <w:vertAlign w:val="baseline"/>
                <w:lang w:val="en-US" w:eastAsia="ja-JP"/>
              </w:rPr>
            </w:pPr>
          </w:p>
        </w:tc>
        <w:tc>
          <w:tcPr>
            <w:tcW w:w="5413" w:type="dxa"/>
          </w:tcPr>
          <w:p w14:paraId="345E0659">
            <w:pPr>
              <w:pStyle w:val="16"/>
              <w:bidi w:val="0"/>
              <w:rPr>
                <w:rFonts w:hint="eastAsia"/>
                <w:vertAlign w:val="baseline"/>
                <w:lang w:val="en-US" w:eastAsia="ja-JP"/>
              </w:rPr>
            </w:pPr>
          </w:p>
        </w:tc>
        <w:tc>
          <w:tcPr>
            <w:tcW w:w="1494" w:type="dxa"/>
          </w:tcPr>
          <w:p w14:paraId="68288C06">
            <w:pPr>
              <w:pStyle w:val="16"/>
              <w:bidi w:val="0"/>
              <w:rPr>
                <w:rFonts w:hint="eastAsia"/>
                <w:vertAlign w:val="baseline"/>
                <w:lang w:val="en-US" w:eastAsia="ja-JP"/>
              </w:rPr>
            </w:pPr>
          </w:p>
        </w:tc>
        <w:tc>
          <w:tcPr>
            <w:tcW w:w="1399" w:type="dxa"/>
          </w:tcPr>
          <w:p w14:paraId="00D02B44">
            <w:pPr>
              <w:pStyle w:val="16"/>
              <w:bidi w:val="0"/>
              <w:rPr>
                <w:rFonts w:hint="eastAsia"/>
                <w:vertAlign w:val="baseline"/>
                <w:lang w:val="en-US" w:eastAsia="ja-JP"/>
              </w:rPr>
            </w:pPr>
          </w:p>
        </w:tc>
      </w:tr>
      <w:tr w14:paraId="6C62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77C9BBA">
            <w:pPr>
              <w:pStyle w:val="16"/>
              <w:bidi w:val="0"/>
              <w:rPr>
                <w:rFonts w:hint="eastAsia"/>
                <w:vertAlign w:val="baseline"/>
                <w:lang w:val="en-US" w:eastAsia="ja-JP"/>
              </w:rPr>
            </w:pPr>
          </w:p>
        </w:tc>
        <w:tc>
          <w:tcPr>
            <w:tcW w:w="947" w:type="dxa"/>
          </w:tcPr>
          <w:p w14:paraId="179F120C">
            <w:pPr>
              <w:pStyle w:val="16"/>
              <w:bidi w:val="0"/>
              <w:rPr>
                <w:rFonts w:hint="eastAsia"/>
                <w:vertAlign w:val="baseline"/>
                <w:lang w:val="en-US" w:eastAsia="ja-JP"/>
              </w:rPr>
            </w:pPr>
          </w:p>
        </w:tc>
        <w:tc>
          <w:tcPr>
            <w:tcW w:w="5413" w:type="dxa"/>
          </w:tcPr>
          <w:p w14:paraId="34E1D3C4">
            <w:pPr>
              <w:pStyle w:val="16"/>
              <w:bidi w:val="0"/>
              <w:rPr>
                <w:rFonts w:hint="eastAsia"/>
                <w:vertAlign w:val="baseline"/>
                <w:lang w:val="en-US" w:eastAsia="ja-JP"/>
              </w:rPr>
            </w:pPr>
          </w:p>
        </w:tc>
        <w:tc>
          <w:tcPr>
            <w:tcW w:w="1494" w:type="dxa"/>
          </w:tcPr>
          <w:p w14:paraId="692FE2EA">
            <w:pPr>
              <w:pStyle w:val="16"/>
              <w:bidi w:val="0"/>
              <w:rPr>
                <w:rFonts w:hint="eastAsia"/>
                <w:vertAlign w:val="baseline"/>
                <w:lang w:val="en-US" w:eastAsia="ja-JP"/>
              </w:rPr>
            </w:pPr>
          </w:p>
        </w:tc>
        <w:tc>
          <w:tcPr>
            <w:tcW w:w="1399" w:type="dxa"/>
          </w:tcPr>
          <w:p w14:paraId="4706910F">
            <w:pPr>
              <w:pStyle w:val="16"/>
              <w:bidi w:val="0"/>
              <w:rPr>
                <w:rFonts w:hint="eastAsia"/>
                <w:vertAlign w:val="baseline"/>
                <w:lang w:val="en-US" w:eastAsia="ja-JP"/>
              </w:rPr>
            </w:pPr>
          </w:p>
        </w:tc>
      </w:tr>
      <w:tr w14:paraId="35F9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3BE9C832">
            <w:pPr>
              <w:pStyle w:val="16"/>
              <w:bidi w:val="0"/>
              <w:rPr>
                <w:rFonts w:hint="eastAsia"/>
                <w:vertAlign w:val="baseline"/>
                <w:lang w:val="en-US" w:eastAsia="ja-JP"/>
              </w:rPr>
            </w:pPr>
          </w:p>
        </w:tc>
        <w:tc>
          <w:tcPr>
            <w:tcW w:w="947" w:type="dxa"/>
          </w:tcPr>
          <w:p w14:paraId="35BE3238">
            <w:pPr>
              <w:pStyle w:val="16"/>
              <w:bidi w:val="0"/>
              <w:rPr>
                <w:rFonts w:hint="eastAsia"/>
                <w:vertAlign w:val="baseline"/>
                <w:lang w:val="en-US" w:eastAsia="ja-JP"/>
              </w:rPr>
            </w:pPr>
          </w:p>
        </w:tc>
        <w:tc>
          <w:tcPr>
            <w:tcW w:w="5413" w:type="dxa"/>
          </w:tcPr>
          <w:p w14:paraId="60BBB9B2">
            <w:pPr>
              <w:pStyle w:val="16"/>
              <w:bidi w:val="0"/>
              <w:rPr>
                <w:rFonts w:hint="eastAsia"/>
                <w:vertAlign w:val="baseline"/>
                <w:lang w:val="en-US" w:eastAsia="ja-JP"/>
              </w:rPr>
            </w:pPr>
          </w:p>
        </w:tc>
        <w:tc>
          <w:tcPr>
            <w:tcW w:w="1494" w:type="dxa"/>
          </w:tcPr>
          <w:p w14:paraId="773D21AD">
            <w:pPr>
              <w:pStyle w:val="16"/>
              <w:bidi w:val="0"/>
              <w:rPr>
                <w:rFonts w:hint="eastAsia"/>
                <w:vertAlign w:val="baseline"/>
                <w:lang w:val="en-US" w:eastAsia="ja-JP"/>
              </w:rPr>
            </w:pPr>
          </w:p>
        </w:tc>
        <w:tc>
          <w:tcPr>
            <w:tcW w:w="1399" w:type="dxa"/>
          </w:tcPr>
          <w:p w14:paraId="64ECB417">
            <w:pPr>
              <w:pStyle w:val="16"/>
              <w:bidi w:val="0"/>
              <w:rPr>
                <w:rFonts w:hint="eastAsia"/>
                <w:vertAlign w:val="baseline"/>
                <w:lang w:val="en-US" w:eastAsia="ja-JP"/>
              </w:rPr>
            </w:pPr>
          </w:p>
        </w:tc>
      </w:tr>
      <w:tr w14:paraId="5B2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BE942F7">
            <w:pPr>
              <w:pStyle w:val="16"/>
              <w:bidi w:val="0"/>
              <w:rPr>
                <w:rFonts w:hint="eastAsia"/>
                <w:vertAlign w:val="baseline"/>
                <w:lang w:val="en-US" w:eastAsia="ja-JP"/>
              </w:rPr>
            </w:pPr>
          </w:p>
        </w:tc>
        <w:tc>
          <w:tcPr>
            <w:tcW w:w="947" w:type="dxa"/>
          </w:tcPr>
          <w:p w14:paraId="325DF1EE">
            <w:pPr>
              <w:pStyle w:val="16"/>
              <w:bidi w:val="0"/>
              <w:rPr>
                <w:rFonts w:hint="eastAsia"/>
                <w:vertAlign w:val="baseline"/>
                <w:lang w:val="en-US" w:eastAsia="ja-JP"/>
              </w:rPr>
            </w:pPr>
          </w:p>
        </w:tc>
        <w:tc>
          <w:tcPr>
            <w:tcW w:w="5413" w:type="dxa"/>
          </w:tcPr>
          <w:p w14:paraId="1B11CFE7">
            <w:pPr>
              <w:pStyle w:val="16"/>
              <w:bidi w:val="0"/>
              <w:rPr>
                <w:rFonts w:hint="eastAsia"/>
                <w:vertAlign w:val="baseline"/>
                <w:lang w:val="en-US" w:eastAsia="ja-JP"/>
              </w:rPr>
            </w:pPr>
          </w:p>
        </w:tc>
        <w:tc>
          <w:tcPr>
            <w:tcW w:w="1494" w:type="dxa"/>
          </w:tcPr>
          <w:p w14:paraId="67ADC5E8">
            <w:pPr>
              <w:pStyle w:val="16"/>
              <w:bidi w:val="0"/>
              <w:rPr>
                <w:rFonts w:hint="eastAsia"/>
                <w:vertAlign w:val="baseline"/>
                <w:lang w:val="en-US" w:eastAsia="ja-JP"/>
              </w:rPr>
            </w:pPr>
          </w:p>
        </w:tc>
        <w:tc>
          <w:tcPr>
            <w:tcW w:w="1399" w:type="dxa"/>
          </w:tcPr>
          <w:p w14:paraId="169FAC5F">
            <w:pPr>
              <w:pStyle w:val="16"/>
              <w:bidi w:val="0"/>
              <w:rPr>
                <w:rFonts w:hint="eastAsia"/>
                <w:vertAlign w:val="baseline"/>
                <w:lang w:val="en-US" w:eastAsia="ja-JP"/>
              </w:rPr>
            </w:pPr>
          </w:p>
        </w:tc>
      </w:tr>
      <w:tr w14:paraId="4C03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5E07787F">
            <w:pPr>
              <w:pStyle w:val="16"/>
              <w:bidi w:val="0"/>
              <w:rPr>
                <w:rFonts w:hint="eastAsia"/>
                <w:vertAlign w:val="baseline"/>
                <w:lang w:val="en-US" w:eastAsia="ja-JP"/>
              </w:rPr>
            </w:pPr>
          </w:p>
        </w:tc>
        <w:tc>
          <w:tcPr>
            <w:tcW w:w="947" w:type="dxa"/>
          </w:tcPr>
          <w:p w14:paraId="3B12A1AC">
            <w:pPr>
              <w:pStyle w:val="16"/>
              <w:bidi w:val="0"/>
              <w:rPr>
                <w:rFonts w:hint="eastAsia"/>
                <w:vertAlign w:val="baseline"/>
                <w:lang w:val="en-US" w:eastAsia="ja-JP"/>
              </w:rPr>
            </w:pPr>
          </w:p>
        </w:tc>
        <w:tc>
          <w:tcPr>
            <w:tcW w:w="5413" w:type="dxa"/>
          </w:tcPr>
          <w:p w14:paraId="6157624D">
            <w:pPr>
              <w:pStyle w:val="16"/>
              <w:bidi w:val="0"/>
              <w:rPr>
                <w:rFonts w:hint="eastAsia"/>
                <w:vertAlign w:val="baseline"/>
                <w:lang w:val="en-US" w:eastAsia="ja-JP"/>
              </w:rPr>
            </w:pPr>
          </w:p>
        </w:tc>
        <w:tc>
          <w:tcPr>
            <w:tcW w:w="1494" w:type="dxa"/>
          </w:tcPr>
          <w:p w14:paraId="489B65C2">
            <w:pPr>
              <w:pStyle w:val="16"/>
              <w:bidi w:val="0"/>
              <w:rPr>
                <w:rFonts w:hint="eastAsia"/>
                <w:vertAlign w:val="baseline"/>
                <w:lang w:val="en-US" w:eastAsia="ja-JP"/>
              </w:rPr>
            </w:pPr>
          </w:p>
        </w:tc>
        <w:tc>
          <w:tcPr>
            <w:tcW w:w="1399" w:type="dxa"/>
          </w:tcPr>
          <w:p w14:paraId="6D894897">
            <w:pPr>
              <w:pStyle w:val="16"/>
              <w:bidi w:val="0"/>
              <w:rPr>
                <w:rFonts w:hint="eastAsia"/>
                <w:vertAlign w:val="baseline"/>
                <w:lang w:val="en-US" w:eastAsia="ja-JP"/>
              </w:rPr>
            </w:pPr>
          </w:p>
        </w:tc>
      </w:tr>
    </w:tbl>
    <w:p w14:paraId="2579FCB2">
      <w:pPr>
        <w:pStyle w:val="16"/>
        <w:bidi w:val="0"/>
        <w:rPr>
          <w:rFonts w:hint="eastAsia"/>
          <w:lang w:val="en-US" w:eastAsia="ja-JP"/>
        </w:rPr>
      </w:pPr>
    </w:p>
    <w:p w14:paraId="6580859B">
      <w:pPr>
        <w:bidi w:val="0"/>
        <w:rPr>
          <w:rFonts w:hint="default"/>
          <w:lang w:val="en-US" w:eastAsia="ja-JP"/>
        </w:rPr>
        <w:sectPr>
          <w:footerReference r:id="rId6" w:type="default"/>
          <w:pgSz w:w="11906" w:h="16838"/>
          <w:pgMar w:top="1701" w:right="1134" w:bottom="1701" w:left="1134" w:header="851" w:footer="992" w:gutter="0"/>
          <w:pgNumType w:fmt="numberInDash" w:start="1"/>
          <w:cols w:space="0" w:num="1"/>
          <w:rtlGutter w:val="0"/>
          <w:docGrid w:type="linesAndChars" w:linePitch="505" w:charSpace="12482"/>
        </w:sectPr>
      </w:pPr>
    </w:p>
    <w:p w14:paraId="21D01F7D">
      <w:pPr>
        <w:pStyle w:val="2"/>
        <w:bidi w:val="0"/>
        <w:rPr>
          <w:rFonts w:hint="default"/>
          <w:lang w:val="en-US" w:eastAsia="ja-JP"/>
        </w:rPr>
      </w:pPr>
      <w:r>
        <w:rPr>
          <w:rFonts w:hint="eastAsia"/>
          <w:lang w:val="en-US" w:eastAsia="ja-JP"/>
        </w:rPr>
        <w:t>（目的）</w:t>
      </w:r>
    </w:p>
    <w:p w14:paraId="723AC8A7">
      <w:pPr>
        <w:rPr>
          <w:rFonts w:hint="eastAsia"/>
          <w:lang w:val="en-US" w:eastAsia="ja-JP"/>
        </w:rPr>
      </w:pPr>
      <w:r>
        <w:rPr>
          <w:rFonts w:hint="eastAsia"/>
          <w:lang w:val="en-US" w:eastAsia="ja-JP"/>
        </w:rPr>
        <w:t>この規程は、各プロジェクトにおける体制強化、および事業機会の拡大を通じた安定的なプロジェクト運営を目的とする。現場のメンバーが主体的に増員活動を行い、その結果、自身のプロジェクト体制を拡大し、より働きやすく、長期的に安定したチーム環境を構築した際の貢献を正当に評価し、還元するためのものである。</w:t>
      </w:r>
    </w:p>
    <w:p w14:paraId="78A2A239">
      <w:pPr>
        <w:rPr>
          <w:rFonts w:hint="default"/>
          <w:lang w:val="en-US" w:eastAsia="ja-JP"/>
        </w:rPr>
      </w:pPr>
    </w:p>
    <w:p w14:paraId="51B9CAEA">
      <w:pPr>
        <w:pStyle w:val="2"/>
        <w:bidi w:val="0"/>
        <w:rPr>
          <w:rFonts w:hint="default"/>
          <w:lang w:val="en-US" w:eastAsia="ja-JP"/>
        </w:rPr>
      </w:pPr>
      <w:r>
        <w:rPr>
          <w:rFonts w:hint="eastAsia"/>
          <w:lang w:val="en-US" w:eastAsia="ja-JP"/>
        </w:rPr>
        <w:t>（適用対象者）</w:t>
      </w:r>
    </w:p>
    <w:p w14:paraId="65E213EE">
      <w:pPr>
        <w:rPr>
          <w:rFonts w:hint="eastAsia"/>
          <w:lang w:val="en-US" w:eastAsia="ja-JP"/>
        </w:rPr>
      </w:pPr>
      <w:r>
        <w:rPr>
          <w:rFonts w:hint="eastAsia"/>
          <w:lang w:val="en-US" w:eastAsia="ja-JP"/>
        </w:rPr>
        <w:t>すべての社員、個人事業主を対象とする。</w:t>
      </w:r>
    </w:p>
    <w:p w14:paraId="6B769585">
      <w:pPr>
        <w:rPr>
          <w:rFonts w:hint="eastAsia"/>
          <w:lang w:val="en-US" w:eastAsia="ja-JP"/>
        </w:rPr>
      </w:pPr>
      <w:r>
        <w:rPr>
          <w:rFonts w:hint="eastAsia"/>
          <w:lang w:val="en-US" w:eastAsia="ja-JP"/>
        </w:rPr>
        <w:t>インセンティブの受給資格は、その案件に自社の人間として最初に参画したメンバーに限定する。最初から2名以上で参画したプロジェクトは、会社で代表者を指定し、その以降の増員は指定された代表者に支給する。</w:t>
      </w:r>
    </w:p>
    <w:p w14:paraId="1D8BAD6B">
      <w:pPr>
        <w:rPr>
          <w:rFonts w:hint="default"/>
          <w:lang w:val="en-US" w:eastAsia="ja-JP"/>
        </w:rPr>
      </w:pPr>
    </w:p>
    <w:p w14:paraId="1728A85D">
      <w:pPr>
        <w:pStyle w:val="2"/>
        <w:bidi w:val="0"/>
        <w:rPr>
          <w:rFonts w:hint="default"/>
          <w:lang w:val="en-US" w:eastAsia="ja-JP"/>
        </w:rPr>
      </w:pPr>
      <w:r>
        <w:rPr>
          <w:rFonts w:hint="eastAsia"/>
          <w:lang w:val="en-US" w:eastAsia="ja-JP"/>
        </w:rPr>
        <w:t>（支給条件・ルール）</w:t>
      </w:r>
    </w:p>
    <w:p w14:paraId="77C98E71">
      <w:pPr>
        <w:rPr>
          <w:rFonts w:hint="eastAsia"/>
          <w:lang w:val="en-US" w:eastAsia="ja-JP"/>
        </w:rPr>
      </w:pPr>
      <w:r>
        <w:rPr>
          <w:rFonts w:hint="eastAsia"/>
          <w:lang w:val="en-US" w:eastAsia="ja-JP"/>
        </w:rPr>
        <w:t>以下のすべての条件を満たした場合に支給対象となる。</w:t>
      </w:r>
    </w:p>
    <w:p w14:paraId="7A4F8BC9">
      <w:pPr>
        <w:rPr>
          <w:rFonts w:hint="default"/>
          <w:lang w:val="en-US" w:eastAsia="ja-JP"/>
        </w:rPr>
      </w:pPr>
      <w:r>
        <w:rPr>
          <w:rFonts w:hint="eastAsia"/>
          <w:lang w:val="en-US" w:eastAsia="ja-JP"/>
        </w:rPr>
        <w:t>参画者は、雇用形態（正社員、ビジネスパートナーなど）を問わず、会社メンバーとしてプロジェクトに参画した者とする。</w:t>
      </w:r>
    </w:p>
    <w:p w14:paraId="6764FBA5">
      <w:pPr>
        <w:numPr>
          <w:ilvl w:val="0"/>
          <w:numId w:val="4"/>
        </w:numPr>
        <w:rPr>
          <w:rFonts w:hint="eastAsia"/>
          <w:lang w:val="en-US" w:eastAsia="ja-JP"/>
        </w:rPr>
      </w:pPr>
      <w:r>
        <w:rPr>
          <w:rFonts w:hint="eastAsia"/>
          <w:lang w:val="en-US" w:eastAsia="ja-JP"/>
        </w:rPr>
        <w:t>対象者が現在所属している、または所属予定のプロジェクトへの増員であること。</w:t>
      </w:r>
    </w:p>
    <w:p w14:paraId="6B7C97E2">
      <w:pPr>
        <w:numPr>
          <w:ilvl w:val="0"/>
          <w:numId w:val="4"/>
        </w:numPr>
        <w:rPr>
          <w:rFonts w:hint="eastAsia"/>
          <w:lang w:val="en-US" w:eastAsia="ja-JP"/>
        </w:rPr>
      </w:pPr>
      <w:r>
        <w:rPr>
          <w:rFonts w:hint="eastAsia"/>
          <w:lang w:val="en-US" w:eastAsia="ja-JP"/>
        </w:rPr>
        <w:t>請負契約の自社開発プロジェクト、および社内開発プロジェクトを除く、顧客常駐型または準委任契約のプロジェクトであること。</w:t>
      </w:r>
    </w:p>
    <w:p w14:paraId="414B4B9B">
      <w:pPr>
        <w:numPr>
          <w:ilvl w:val="0"/>
          <w:numId w:val="4"/>
        </w:numPr>
        <w:rPr>
          <w:rFonts w:hint="eastAsia"/>
          <w:lang w:val="en-US" w:eastAsia="ja-JP"/>
        </w:rPr>
      </w:pPr>
      <w:r>
        <w:rPr>
          <w:rFonts w:hint="eastAsia"/>
          <w:lang w:val="en-US" w:eastAsia="ja-JP"/>
        </w:rPr>
        <w:t>増員対象者について、1ヶ月以上の稼働実績があること。</w:t>
      </w:r>
    </w:p>
    <w:p w14:paraId="3FED387D">
      <w:pPr>
        <w:numPr>
          <w:ilvl w:val="0"/>
          <w:numId w:val="0"/>
        </w:numPr>
        <w:ind w:leftChars="200"/>
        <w:rPr>
          <w:rFonts w:hint="eastAsia"/>
          <w:lang w:val="en-US" w:eastAsia="ja-JP"/>
        </w:rPr>
      </w:pPr>
    </w:p>
    <w:p w14:paraId="2887D276">
      <w:pPr>
        <w:pStyle w:val="2"/>
        <w:bidi w:val="0"/>
        <w:rPr>
          <w:rFonts w:hint="default"/>
          <w:lang w:val="en-US" w:eastAsia="ja-JP"/>
        </w:rPr>
      </w:pPr>
      <w:r>
        <w:rPr>
          <w:rFonts w:hint="eastAsia"/>
          <w:lang w:val="en-US" w:eastAsia="ja-JP"/>
        </w:rPr>
        <w:t>（インセンティブ金額）</w:t>
      </w:r>
    </w:p>
    <w:p w14:paraId="08A0233B">
      <w:pPr>
        <w:rPr>
          <w:rFonts w:hint="eastAsia"/>
          <w:lang w:val="en-US" w:eastAsia="ja-JP"/>
        </w:rPr>
      </w:pPr>
      <w:r>
        <w:rPr>
          <w:rFonts w:hint="eastAsia"/>
          <w:lang w:val="en-US" w:eastAsia="ja-JP"/>
        </w:rPr>
        <w:t>インセンティブは、増員1名につき月額20,000円とする。</w:t>
      </w:r>
    </w:p>
    <w:p w14:paraId="4917637B">
      <w:pPr>
        <w:rPr>
          <w:rFonts w:hint="eastAsia"/>
          <w:lang w:val="en-US" w:eastAsia="ja-JP"/>
        </w:rPr>
      </w:pPr>
      <w:r>
        <w:rPr>
          <w:rFonts w:hint="eastAsia"/>
          <w:lang w:val="en-US" w:eastAsia="ja-JP"/>
        </w:rPr>
        <w:t>なお、増員対象者がプロジェクトに継続して稼働する期間中は、継続して支給する。</w:t>
      </w:r>
    </w:p>
    <w:p w14:paraId="1AF492E1">
      <w:pPr>
        <w:rPr>
          <w:rFonts w:hint="eastAsia"/>
          <w:lang w:val="en-US" w:eastAsia="ja-JP"/>
        </w:rPr>
      </w:pPr>
    </w:p>
    <w:p w14:paraId="55D8C2EB">
      <w:pPr>
        <w:pStyle w:val="2"/>
        <w:bidi w:val="0"/>
        <w:rPr>
          <w:rFonts w:hint="eastAsia"/>
          <w:lang w:val="en-US" w:eastAsia="ja-JP"/>
        </w:rPr>
      </w:pPr>
      <w:r>
        <w:rPr>
          <w:rFonts w:hint="eastAsia"/>
          <w:lang w:val="en-US" w:eastAsia="ja-JP"/>
        </w:rPr>
        <w:t>（支払い方法・時期）</w:t>
      </w:r>
    </w:p>
    <w:p w14:paraId="3E9B34E7">
      <w:pPr>
        <w:rPr>
          <w:rFonts w:hint="eastAsia"/>
          <w:lang w:val="en-US" w:eastAsia="ja-JP"/>
        </w:rPr>
      </w:pPr>
      <w:r>
        <w:rPr>
          <w:rFonts w:hint="eastAsia"/>
          <w:lang w:val="en-US" w:eastAsia="ja-JP"/>
        </w:rPr>
        <w:t>事務手続きの簡略化およびまとまった金額での還元の観点から、人事部門で3ヶ月ごとに集計し、その内容を人事責任者の承認を得たうえで、支給額を確定するものとする。確定したインセンティブは、一括で現金にて支給する。</w:t>
      </w:r>
      <w:bookmarkStart w:id="0" w:name="_GoBack"/>
      <w:bookmarkEnd w:id="0"/>
    </w:p>
    <w:p w14:paraId="68598CC1">
      <w:pPr>
        <w:rPr>
          <w:rFonts w:hint="eastAsia"/>
          <w:lang w:val="en-US" w:eastAsia="ja-JP"/>
        </w:rPr>
      </w:pPr>
    </w:p>
    <w:p w14:paraId="7ED71E74">
      <w:pPr>
        <w:pStyle w:val="2"/>
        <w:bidi w:val="0"/>
        <w:rPr>
          <w:rFonts w:hint="default"/>
          <w:lang w:val="en-US" w:eastAsia="ja-JP"/>
        </w:rPr>
      </w:pPr>
      <w:r>
        <w:rPr>
          <w:rFonts w:hint="eastAsia"/>
          <w:lang w:val="en-US" w:eastAsia="ja-JP"/>
        </w:rPr>
        <w:t>（留意事項）</w:t>
      </w:r>
    </w:p>
    <w:p w14:paraId="51C8FC78">
      <w:pPr>
        <w:rPr>
          <w:rFonts w:hint="eastAsia"/>
          <w:lang w:val="en-US" w:eastAsia="ja-JP"/>
        </w:rPr>
      </w:pPr>
      <w:r>
        <w:rPr>
          <w:rFonts w:hint="eastAsia"/>
          <w:lang w:val="en-US" w:eastAsia="ja-JP"/>
        </w:rPr>
        <w:t>本制度は会社の事業戦略に基づき、予告なく変更または廃止されることがある。</w:t>
      </w:r>
    </w:p>
    <w:p w14:paraId="00667A3C">
      <w:pPr>
        <w:ind w:left="0" w:leftChars="0" w:firstLine="0" w:firstLineChars="0"/>
        <w:rPr>
          <w:rFonts w:hint="default"/>
          <w:lang w:val="en-US" w:eastAsia="ja-JP"/>
        </w:rPr>
      </w:pPr>
    </w:p>
    <w:sectPr>
      <w:footerReference r:id="rId7" w:type="default"/>
      <w:pgSz w:w="11906" w:h="16838"/>
      <w:pgMar w:top="1701" w:right="1134" w:bottom="1701" w:left="1134" w:header="851" w:footer="992" w:gutter="0"/>
      <w:pgNumType w:fmt="numberInDash" w:start="1"/>
      <w:cols w:space="0" w:num="1"/>
      <w:rtlGutter w:val="0"/>
      <w:docGrid w:type="linesAndChars" w:linePitch="505" w:charSpace="12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firstLine="240"/>
      </w:pPr>
      <w:r>
        <w:separator/>
      </w:r>
    </w:p>
  </w:endnote>
  <w:endnote w:type="continuationSeparator" w:id="1">
    <w:p>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eiryo UI">
    <w:panose1 w:val="020B0604030504040204"/>
    <w:charset w:val="80"/>
    <w:family w:val="auto"/>
    <w:pitch w:val="default"/>
    <w:sig w:usb0="E00002FF" w:usb1="6AC7FFFF" w:usb2="08000012" w:usb3="00000000" w:csb0="6002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BDF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38B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テキスト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BE6C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s/5LZUECAABwBAAADgAAAAAAAAABACAAAAAfAQAAZHJz&#10;L2Uyb0RvYy54bWxQSwUGAAAAAAYABgBZAQAA0gUAAAAA&#10;">
              <v:fill on="f" focussize="0,0"/>
              <v:stroke on="f" weight="0.5pt"/>
              <v:imagedata o:title=""/>
              <o:lock v:ext="edit" aspectratio="f"/>
              <v:textbox inset="0mm,0mm,0mm,0mm" style="mso-fit-shape-to-text:t;">
                <w:txbxContent>
                  <w:p w14:paraId="250BE6C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40" w:firstLine="240"/>
      </w:pPr>
      <w:r>
        <w:separator/>
      </w:r>
    </w:p>
  </w:footnote>
  <w:footnote w:type="continuationSeparator" w:id="1">
    <w:p>
      <w:pPr>
        <w:ind w:left="240"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411E">
    <w:pPr>
      <w:pStyle w:val="13"/>
      <w:pBdr>
        <w:bottom w:val="none" w:color="auto" w:sz="0" w:space="0"/>
      </w:pBdr>
    </w:pPr>
  </w:p>
  <w:p w14:paraId="14CFD509">
    <w:pPr>
      <w:pStyle w:val="13"/>
      <w:pBdr>
        <w:bottom w:val="single" w:color="auto" w:sz="4" w:space="0"/>
      </w:pBdr>
      <w:rPr>
        <w:rFonts w:hint="default" w:eastAsia="Meiryo UI"/>
        <w:lang w:val="en-US" w:eastAsia="ja-JP"/>
      </w:rPr>
    </w:pPr>
    <w:r>
      <w:rPr>
        <w:rFonts w:hint="eastAsia"/>
        <w:lang w:val="en-US" w:eastAsia="ja-JP"/>
      </w:rPr>
      <w:t xml:space="preserve">                                                                    ビジコム株式会社 www.busicom-jp.co.jp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C35D4"/>
    <w:multiLevelType w:val="multilevel"/>
    <w:tmpl w:val="9A0C35D4"/>
    <w:lvl w:ilvl="0" w:tentative="0">
      <w:start w:val="1"/>
      <w:numFmt w:val="decimal"/>
      <w:lvlText w:val="%1."/>
      <w:lvlJc w:val="left"/>
      <w:pPr>
        <w:tabs>
          <w:tab w:val="left" w:pos="425"/>
        </w:tabs>
        <w:ind w:left="425" w:leftChars="0" w:hanging="425" w:firstLineChars="0"/>
      </w:pPr>
      <w:rPr>
        <w:rFonts w:hint="default"/>
      </w:rPr>
    </w:lvl>
    <w:lvl w:ilvl="1" w:tentative="0">
      <w:start w:val="1"/>
      <w:numFmt w:val="decimal"/>
      <w:lvlText w:val="%1.%2."/>
      <w:lvlJc w:val="left"/>
      <w:pPr>
        <w:tabs>
          <w:tab w:val="left" w:pos="567"/>
        </w:tabs>
        <w:ind w:left="567" w:leftChars="0" w:hanging="567" w:firstLineChars="0"/>
      </w:pPr>
      <w:rPr>
        <w:rFonts w:hint="default"/>
      </w:rPr>
    </w:lvl>
    <w:lvl w:ilvl="2" w:tentative="0">
      <w:start w:val="1"/>
      <w:numFmt w:val="decimal"/>
      <w:pStyle w:val="4"/>
      <w:suff w:val="space"/>
      <w:lvlText w:val="%1.%2.%3."/>
      <w:lvlJc w:val="left"/>
      <w:pPr>
        <w:tabs>
          <w:tab w:val="left" w:pos="709"/>
        </w:tabs>
        <w:ind w:left="709" w:leftChars="0" w:hanging="709" w:firstLineChars="0"/>
      </w:pPr>
      <w:rPr>
        <w:rFonts w:hint="default" w:ascii="Arial" w:hAnsi="Arial" w:eastAsia="Meiryo UI" w:cs="Meiryo UI"/>
      </w:rPr>
    </w:lvl>
    <w:lvl w:ilvl="3" w:tentative="0">
      <w:start w:val="1"/>
      <w:numFmt w:val="decimal"/>
      <w:lvlText w:val="%1.%2.%3.%4."/>
      <w:lvlJc w:val="left"/>
      <w:pPr>
        <w:tabs>
          <w:tab w:val="left" w:pos="851"/>
        </w:tabs>
        <w:ind w:left="851" w:leftChars="0" w:hanging="851" w:firstLineChars="0"/>
      </w:pPr>
      <w:rPr>
        <w:rFonts w:hint="default"/>
      </w:rPr>
    </w:lvl>
    <w:lvl w:ilvl="4" w:tentative="0">
      <w:start w:val="1"/>
      <w:numFmt w:val="decimal"/>
      <w:lvlText w:val="%1.%2.%3.%4.%5."/>
      <w:lvlJc w:val="left"/>
      <w:pPr>
        <w:tabs>
          <w:tab w:val="left" w:pos="992"/>
        </w:tabs>
        <w:ind w:left="992" w:leftChars="0" w:hanging="992"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6"/>
        </w:tabs>
        <w:ind w:left="1276" w:leftChars="0" w:hanging="1276"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9"/>
        </w:tabs>
        <w:ind w:left="1559" w:leftChars="0" w:hanging="1559" w:firstLineChars="0"/>
      </w:pPr>
      <w:rPr>
        <w:rFonts w:hint="default"/>
      </w:rPr>
    </w:lvl>
  </w:abstractNum>
  <w:abstractNum w:abstractNumId="1">
    <w:nsid w:val="F389961F"/>
    <w:multiLevelType w:val="multilevel"/>
    <w:tmpl w:val="F389961F"/>
    <w:lvl w:ilvl="0" w:tentative="0">
      <w:start w:val="1"/>
      <w:numFmt w:val="decimal"/>
      <w:pStyle w:val="2"/>
      <w:suff w:val="space"/>
      <w:lvlText w:val="第%1条"/>
      <w:lvlJc w:val="left"/>
      <w:pPr>
        <w:tabs>
          <w:tab w:val="left" w:pos="720"/>
        </w:tabs>
        <w:ind w:left="425" w:leftChars="0" w:hanging="425" w:firstLineChars="0"/>
      </w:pPr>
      <w:rPr>
        <w:rFonts w:hint="default" w:ascii="Arial" w:hAnsi="Arial" w:eastAsia="Meiryo UI" w:cs="Meiryo UI"/>
      </w:rPr>
    </w:lvl>
    <w:lvl w:ilvl="1" w:tentative="0">
      <w:start w:val="1"/>
      <w:numFmt w:val="decimal"/>
      <w:lvlText w:val="第%2節"/>
      <w:lvlJc w:val="left"/>
      <w:pPr>
        <w:tabs>
          <w:tab w:val="left" w:pos="1145"/>
        </w:tabs>
        <w:ind w:left="850" w:leftChars="0" w:hanging="425" w:firstLineChars="0"/>
      </w:pPr>
      <w:rPr>
        <w:rFonts w:hint="default"/>
      </w:rPr>
    </w:lvl>
    <w:lvl w:ilvl="2" w:tentative="0">
      <w:start w:val="1"/>
      <w:numFmt w:val="decimal"/>
      <w:lvlText w:val="第%3項"/>
      <w:lvlJc w:val="left"/>
      <w:pPr>
        <w:tabs>
          <w:tab w:val="left" w:pos="1571"/>
        </w:tabs>
        <w:ind w:left="1276" w:leftChars="0" w:hanging="425" w:firstLineChars="0"/>
      </w:pPr>
      <w:rPr>
        <w:rFonts w:hint="default"/>
      </w:rPr>
    </w:lvl>
    <w:lvl w:ilvl="3" w:tentative="0">
      <w:start w:val="1"/>
      <w:numFmt w:val="decimal"/>
      <w:lvlText w:val="%4."/>
      <w:lvlJc w:val="left"/>
      <w:pPr>
        <w:tabs>
          <w:tab w:val="left" w:pos="1996"/>
        </w:tabs>
        <w:ind w:left="1701" w:leftChars="0" w:hanging="425" w:firstLineChars="0"/>
      </w:pPr>
      <w:rPr>
        <w:rFonts w:hint="default"/>
      </w:rPr>
    </w:lvl>
    <w:lvl w:ilvl="4" w:tentative="0">
      <w:start w:val="1"/>
      <w:numFmt w:val="decimal"/>
      <w:lvlText w:val="%4.%5"/>
      <w:lvlJc w:val="left"/>
      <w:pPr>
        <w:tabs>
          <w:tab w:val="left" w:pos="2421"/>
        </w:tabs>
        <w:ind w:left="2126" w:leftChars="0" w:hanging="425" w:firstLineChars="0"/>
      </w:pPr>
      <w:rPr>
        <w:rFonts w:hint="default"/>
      </w:rPr>
    </w:lvl>
    <w:lvl w:ilvl="5" w:tentative="0">
      <w:start w:val="1"/>
      <w:numFmt w:val="decimal"/>
      <w:lvlText w:val="%4.%5.%6"/>
      <w:lvlJc w:val="left"/>
      <w:pPr>
        <w:tabs>
          <w:tab w:val="left" w:pos="2846"/>
        </w:tabs>
        <w:ind w:left="2551" w:leftChars="0" w:hanging="425" w:firstLineChars="0"/>
      </w:pPr>
      <w:rPr>
        <w:rFonts w:hint="default"/>
      </w:rPr>
    </w:lvl>
    <w:lvl w:ilvl="6" w:tentative="0">
      <w:start w:val="1"/>
      <w:numFmt w:val="decimal"/>
      <w:lvlText w:val="%4.%5.%6.%7"/>
      <w:lvlJc w:val="left"/>
      <w:pPr>
        <w:tabs>
          <w:tab w:val="left" w:pos="3271"/>
        </w:tabs>
        <w:ind w:left="2976" w:leftChars="0" w:hanging="425" w:firstLineChars="0"/>
      </w:pPr>
      <w:rPr>
        <w:rFonts w:hint="default"/>
      </w:rPr>
    </w:lvl>
    <w:lvl w:ilvl="7" w:tentative="0">
      <w:start w:val="1"/>
      <w:numFmt w:val="decimal"/>
      <w:lvlText w:val="%4.%5.%6.%7.%8"/>
      <w:lvlJc w:val="left"/>
      <w:pPr>
        <w:tabs>
          <w:tab w:val="left" w:pos="3696"/>
        </w:tabs>
        <w:ind w:left="3402" w:leftChars="0" w:hanging="425" w:firstLineChars="0"/>
      </w:pPr>
      <w:rPr>
        <w:rFonts w:hint="default"/>
      </w:rPr>
    </w:lvl>
    <w:lvl w:ilvl="8" w:tentative="0">
      <w:start w:val="1"/>
      <w:numFmt w:val="decimal"/>
      <w:lvlText w:val="%4.%5.%6.%7.%8.%9"/>
      <w:lvlJc w:val="left"/>
      <w:pPr>
        <w:tabs>
          <w:tab w:val="left" w:pos="4121"/>
        </w:tabs>
        <w:ind w:left="3827" w:leftChars="0" w:hanging="425" w:firstLineChars="0"/>
      </w:pPr>
      <w:rPr>
        <w:rFonts w:hint="default"/>
      </w:rPr>
    </w:lvl>
  </w:abstractNum>
  <w:abstractNum w:abstractNumId="2">
    <w:nsid w:val="F5C971B2"/>
    <w:multiLevelType w:val="multilevel"/>
    <w:tmpl w:val="F5C971B2"/>
    <w:lvl w:ilvl="0" w:tentative="0">
      <w:start w:val="3"/>
      <w:numFmt w:val="decimal"/>
      <w:suff w:val="space"/>
      <w:lvlText w:val="%1."/>
      <w:lvlJc w:val="left"/>
      <w:pPr>
        <w:tabs>
          <w:tab w:val="left" w:pos="425"/>
        </w:tabs>
        <w:ind w:left="425" w:leftChars="0" w:hanging="425" w:firstLineChars="0"/>
      </w:pPr>
      <w:rPr>
        <w:rFonts w:hint="default" w:ascii="Arial" w:hAnsi="Arial" w:eastAsia="Meiryo UI" w:cs="Meiryo UI"/>
        <w:b/>
        <w:sz w:val="28"/>
      </w:rPr>
    </w:lvl>
    <w:lvl w:ilvl="1" w:tentative="0">
      <w:start w:val="1"/>
      <w:numFmt w:val="decimal"/>
      <w:pStyle w:val="3"/>
      <w:suff w:val="space"/>
      <w:lvlText w:val="%1.%2."/>
      <w:lvlJc w:val="left"/>
      <w:pPr>
        <w:tabs>
          <w:tab w:val="left" w:pos="0"/>
        </w:tabs>
        <w:ind w:left="567" w:leftChars="0" w:hanging="567" w:firstLineChars="0"/>
      </w:pPr>
      <w:rPr>
        <w:rFonts w:hint="default" w:ascii="Arial" w:hAnsi="Arial" w:eastAsia="Meiryo UI" w:cs="Meiryo UI"/>
        <w:sz w:val="24"/>
        <w:szCs w:val="24"/>
      </w:rPr>
    </w:lvl>
    <w:lvl w:ilvl="2" w:tentative="0">
      <w:start w:val="1"/>
      <w:numFmt w:val="decimal"/>
      <w:lvlText w:val="%1.%2.%3."/>
      <w:lvlJc w:val="left"/>
      <w:pPr>
        <w:tabs>
          <w:tab w:val="left" w:pos="425"/>
        </w:tabs>
        <w:ind w:left="709" w:leftChars="0" w:hanging="709" w:firstLineChars="0"/>
      </w:pPr>
      <w:rPr>
        <w:rFonts w:hint="default"/>
      </w:rPr>
    </w:lvl>
    <w:lvl w:ilvl="3" w:tentative="0">
      <w:start w:val="1"/>
      <w:numFmt w:val="decimal"/>
      <w:lvlText w:val="%1.%2.%3.%4."/>
      <w:lvlJc w:val="left"/>
      <w:pPr>
        <w:tabs>
          <w:tab w:val="left" w:pos="851"/>
        </w:tabs>
        <w:ind w:left="851" w:leftChars="0" w:hanging="851" w:firstLineChars="0"/>
      </w:pPr>
      <w:rPr>
        <w:rFonts w:hint="default"/>
      </w:rPr>
    </w:lvl>
    <w:lvl w:ilvl="4" w:tentative="0">
      <w:start w:val="1"/>
      <w:numFmt w:val="decimal"/>
      <w:lvlText w:val="%1.%2.%3.%4.%5."/>
      <w:lvlJc w:val="left"/>
      <w:pPr>
        <w:tabs>
          <w:tab w:val="left" w:pos="992"/>
        </w:tabs>
        <w:ind w:left="992" w:leftChars="0" w:hanging="992"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6"/>
        </w:tabs>
        <w:ind w:left="1276" w:leftChars="0" w:hanging="1276"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9"/>
        </w:tabs>
        <w:ind w:left="1559" w:leftChars="0" w:hanging="1559" w:firstLineChars="0"/>
      </w:pPr>
      <w:rPr>
        <w:rFonts w:hint="default"/>
      </w:rPr>
    </w:lvl>
  </w:abstractNum>
  <w:abstractNum w:abstractNumId="3">
    <w:nsid w:val="57AB1E7C"/>
    <w:multiLevelType w:val="singleLevel"/>
    <w:tmpl w:val="57AB1E7C"/>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HorizontalSpacing w:val="181"/>
  <w:drawingGridVerticalSpacing w:val="25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D0EF6"/>
    <w:rsid w:val="020E3E06"/>
    <w:rsid w:val="04705A05"/>
    <w:rsid w:val="06641387"/>
    <w:rsid w:val="08E56E02"/>
    <w:rsid w:val="0A4B6C8B"/>
    <w:rsid w:val="0C1747A7"/>
    <w:rsid w:val="0D000AE4"/>
    <w:rsid w:val="0F5662C3"/>
    <w:rsid w:val="11BD32AB"/>
    <w:rsid w:val="13C8050E"/>
    <w:rsid w:val="19A32699"/>
    <w:rsid w:val="1A4A39E4"/>
    <w:rsid w:val="1C302430"/>
    <w:rsid w:val="1F5555D1"/>
    <w:rsid w:val="20960D57"/>
    <w:rsid w:val="21F4414A"/>
    <w:rsid w:val="220D3F9C"/>
    <w:rsid w:val="22976677"/>
    <w:rsid w:val="22D50D66"/>
    <w:rsid w:val="23DD0C44"/>
    <w:rsid w:val="272A364F"/>
    <w:rsid w:val="2954525D"/>
    <w:rsid w:val="3669773D"/>
    <w:rsid w:val="37212969"/>
    <w:rsid w:val="3988390D"/>
    <w:rsid w:val="3DAC6A92"/>
    <w:rsid w:val="406A471B"/>
    <w:rsid w:val="407050F1"/>
    <w:rsid w:val="43B36464"/>
    <w:rsid w:val="462A5AB4"/>
    <w:rsid w:val="496A293B"/>
    <w:rsid w:val="4AA25200"/>
    <w:rsid w:val="4BF416B6"/>
    <w:rsid w:val="4D5D520F"/>
    <w:rsid w:val="597C0DDC"/>
    <w:rsid w:val="5BFA074C"/>
    <w:rsid w:val="5CC611EA"/>
    <w:rsid w:val="629152E7"/>
    <w:rsid w:val="63084806"/>
    <w:rsid w:val="662E7016"/>
    <w:rsid w:val="75D9578B"/>
    <w:rsid w:val="79EE6468"/>
    <w:rsid w:val="7CEA09C6"/>
    <w:rsid w:val="7F97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ind w:left="240" w:leftChars="100" w:firstLine="240" w:firstLineChars="100"/>
      <w:jc w:val="both"/>
    </w:pPr>
    <w:rPr>
      <w:rFonts w:ascii="Arial" w:hAnsi="Arial" w:eastAsia="Meiryo UI" w:cstheme="minorBidi"/>
      <w:kern w:val="2"/>
      <w:sz w:val="18"/>
      <w:szCs w:val="24"/>
      <w:lang w:val="en-US" w:eastAsia="ja-JP" w:bidi="ar-SA"/>
    </w:rPr>
  </w:style>
  <w:style w:type="paragraph" w:styleId="2">
    <w:name w:val="heading 1"/>
    <w:basedOn w:val="1"/>
    <w:next w:val="1"/>
    <w:qFormat/>
    <w:uiPriority w:val="0"/>
    <w:pPr>
      <w:keepNext/>
      <w:keepLines/>
      <w:widowControl/>
      <w:numPr>
        <w:ilvl w:val="0"/>
        <w:numId w:val="1"/>
      </w:numPr>
      <w:pBdr>
        <w:top w:val="none" w:color="auto" w:sz="0" w:space="1"/>
        <w:left w:val="none" w:color="auto" w:sz="0" w:space="4"/>
        <w:bottom w:val="none" w:color="375623" w:themeColor="accent6" w:themeShade="7F" w:sz="0" w:space="1"/>
        <w:right w:val="none" w:color="auto" w:sz="0" w:space="4"/>
      </w:pBdr>
      <w:tabs>
        <w:tab w:val="left" w:pos="425"/>
      </w:tabs>
      <w:topLinePunct w:val="0"/>
      <w:spacing w:line="240" w:lineRule="auto"/>
      <w:ind w:hanging="425" w:firstLineChars="0"/>
      <w:jc w:val="left"/>
      <w:outlineLvl w:val="0"/>
    </w:pPr>
    <w:rPr>
      <w:rFonts w:cs="Meiryo UI"/>
      <w:color w:val="385724" w:themeColor="accent6" w:themeShade="80"/>
      <w:sz w:val="24"/>
      <w:szCs w:val="28"/>
    </w:rPr>
  </w:style>
  <w:style w:type="paragraph" w:styleId="3">
    <w:name w:val="heading 2"/>
    <w:basedOn w:val="1"/>
    <w:next w:val="1"/>
    <w:unhideWhenUsed/>
    <w:qFormat/>
    <w:uiPriority w:val="0"/>
    <w:pPr>
      <w:keepNext/>
      <w:numPr>
        <w:ilvl w:val="1"/>
        <w:numId w:val="2"/>
      </w:numPr>
      <w:tabs>
        <w:tab w:val="left" w:pos="425"/>
        <w:tab w:val="clear" w:pos="0"/>
      </w:tabs>
      <w:spacing w:line="240" w:lineRule="auto"/>
      <w:ind w:left="807" w:leftChars="100" w:right="-2120" w:rightChars="-1000" w:hanging="567" w:firstLineChars="0"/>
      <w:outlineLvl w:val="1"/>
    </w:pPr>
    <w:rPr>
      <w:rFonts w:cs="Meiryo UI"/>
      <w:color w:val="385724" w:themeColor="accent6" w:themeShade="80"/>
      <w:sz w:val="24"/>
    </w:rPr>
  </w:style>
  <w:style w:type="paragraph" w:styleId="4">
    <w:name w:val="heading 3"/>
    <w:basedOn w:val="1"/>
    <w:next w:val="1"/>
    <w:unhideWhenUsed/>
    <w:qFormat/>
    <w:uiPriority w:val="0"/>
    <w:pPr>
      <w:keepNext/>
      <w:numPr>
        <w:ilvl w:val="2"/>
        <w:numId w:val="3"/>
      </w:numPr>
      <w:spacing w:line="240" w:lineRule="auto"/>
      <w:ind w:left="949" w:leftChars="100" w:hanging="709" w:firstLineChars="0"/>
      <w:jc w:val="left"/>
      <w:outlineLvl w:val="2"/>
    </w:pPr>
    <w:rPr>
      <w:rFonts w:cs="Meiryo UI"/>
      <w:color w:val="385724" w:themeColor="accent6" w:themeShade="80"/>
      <w:sz w:val="20"/>
      <w:szCs w:val="20"/>
    </w:rPr>
  </w:style>
  <w:style w:type="paragraph" w:styleId="5">
    <w:name w:val="heading 4"/>
    <w:basedOn w:val="1"/>
    <w:next w:val="1"/>
    <w:unhideWhenUsed/>
    <w:qFormat/>
    <w:uiPriority w:val="0"/>
    <w:pPr>
      <w:keepNext/>
      <w:spacing w:line="240" w:lineRule="auto"/>
      <w:ind w:left="480" w:leftChars="200"/>
      <w:outlineLvl w:val="3"/>
    </w:pPr>
    <w:rPr>
      <w:szCs w:val="18"/>
    </w:rPr>
  </w:style>
  <w:style w:type="paragraph" w:styleId="6">
    <w:name w:val="heading 5"/>
    <w:basedOn w:val="1"/>
    <w:next w:val="1"/>
    <w:unhideWhenUsed/>
    <w:qFormat/>
    <w:uiPriority w:val="0"/>
    <w:pPr>
      <w:keepNext/>
      <w:spacing w:line="240" w:lineRule="auto"/>
      <w:ind w:left="480" w:leftChars="200"/>
      <w:outlineLvl w:val="4"/>
    </w:pPr>
    <w:rPr>
      <w:rFonts w:eastAsia="Meiryo UI" w:cs="Meiryo UI"/>
      <w:sz w:val="18"/>
    </w:rPr>
  </w:style>
  <w:style w:type="paragraph" w:styleId="7">
    <w:name w:val="heading 6"/>
    <w:basedOn w:val="1"/>
    <w:next w:val="1"/>
    <w:semiHidden/>
    <w:unhideWhenUsed/>
    <w:qFormat/>
    <w:uiPriority w:val="0"/>
    <w:pPr>
      <w:keepNext/>
      <w:spacing w:line="240" w:lineRule="auto"/>
      <w:ind w:left="480" w:leftChars="200"/>
      <w:outlineLvl w:val="5"/>
    </w:pPr>
    <w:rPr>
      <w:rFonts w:cs="Meiryo UI"/>
      <w:sz w:val="18"/>
      <w:szCs w:val="18"/>
    </w:rPr>
  </w:style>
  <w:style w:type="character" w:default="1" w:styleId="8">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0"/>
  </w:style>
  <w:style w:type="paragraph" w:styleId="11">
    <w:name w:val="footer"/>
    <w:basedOn w:val="1"/>
    <w:qFormat/>
    <w:uiPriority w:val="0"/>
    <w:pPr>
      <w:tabs>
        <w:tab w:val="center" w:pos="4153"/>
        <w:tab w:val="right" w:pos="8306"/>
      </w:tabs>
      <w:snapToGrid w:val="0"/>
    </w:pPr>
  </w:style>
  <w:style w:type="paragraph" w:styleId="12">
    <w:name w:val="Body Text First Indent"/>
    <w:basedOn w:val="10"/>
    <w:qFormat/>
    <w:uiPriority w:val="0"/>
    <w:pPr>
      <w:ind w:firstLine="210" w:firstLineChars="100"/>
    </w:pPr>
  </w:style>
  <w:style w:type="paragraph" w:styleId="13">
    <w:name w:val="header"/>
    <w:basedOn w:val="1"/>
    <w:qFormat/>
    <w:uiPriority w:val="0"/>
    <w:pPr>
      <w:tabs>
        <w:tab w:val="center" w:pos="4153"/>
        <w:tab w:val="right" w:pos="8306"/>
      </w:tabs>
      <w:snapToGrid w:val="0"/>
    </w:pPr>
  </w:style>
  <w:style w:type="table" w:styleId="14">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ロゴ"/>
    <w:basedOn w:val="1"/>
    <w:qFormat/>
    <w:uiPriority w:val="0"/>
    <w:pPr>
      <w:tabs>
        <w:tab w:val="center" w:pos="4153"/>
        <w:tab w:val="right" w:pos="8306"/>
      </w:tabs>
      <w:snapToGrid w:val="0"/>
      <w:ind w:left="0" w:leftChars="0" w:firstLine="0" w:firstLineChars="0"/>
    </w:pPr>
  </w:style>
  <w:style w:type="paragraph" w:customStyle="1" w:styleId="16">
    <w:name w:val="ノーマル"/>
    <w:basedOn w:val="1"/>
    <w:qFormat/>
    <w:uiPriority w:val="0"/>
    <w:pPr>
      <w:ind w:left="0" w:leftChars="0" w:firstLine="0" w:firstLineChars="0"/>
    </w:pPr>
  </w:style>
  <w:style w:type="paragraph" w:customStyle="1" w:styleId="17">
    <w:name w:val="表紙.タイトル"/>
    <w:basedOn w:val="1"/>
    <w:next w:val="1"/>
    <w:qFormat/>
    <w:uiPriority w:val="0"/>
    <w:pPr>
      <w:pBdr>
        <w:top w:val="thinThickSmallGap" w:color="375623" w:themeColor="accent6" w:themeShade="7F" w:sz="24" w:space="5"/>
        <w:left w:val="none" w:color="375623" w:themeColor="accent6" w:themeShade="7F" w:sz="0" w:space="4"/>
        <w:bottom w:val="thickThinSmallGap" w:color="375623" w:themeColor="accent6" w:themeShade="7F" w:sz="24" w:space="5"/>
        <w:right w:val="none" w:color="375623" w:themeColor="accent6" w:themeShade="7F" w:sz="0" w:space="4"/>
      </w:pBdr>
      <w:ind w:left="0" w:leftChars="0" w:firstLine="0" w:firstLineChars="0"/>
      <w:jc w:val="center"/>
    </w:pPr>
    <w:rPr>
      <w:rFonts w:cs="Meiryo UI"/>
      <w:b/>
      <w:color w:val="385724" w:themeColor="accent6" w:themeShade="80"/>
      <w:sz w:val="72"/>
      <w:szCs w:val="72"/>
    </w:rPr>
  </w:style>
  <w:style w:type="paragraph" w:customStyle="1" w:styleId="18">
    <w:name w:val="表紙.日付&amp;バージョン"/>
    <w:basedOn w:val="1"/>
    <w:qFormat/>
    <w:uiPriority w:val="0"/>
    <w:pPr>
      <w:ind w:left="0" w:leftChars="0" w:firstLine="0" w:firstLineChars="0"/>
      <w:jc w:val="center"/>
    </w:pPr>
    <w:rPr>
      <w:rFonts w:hint="eastAsia" w:cs="Meiryo U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g\AppData\Local\Kingsoft\WPS%20Office\12.2.0.19307\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2025-05-24T05:16:00Z</dcterms:created>
  <dc:creator>guang</dc:creator>
  <cp:lastModifiedBy>guang</cp:lastModifiedBy>
  <cp:lastPrinted>2025-05-25T22:39:00Z</cp:lastPrinted>
  <dcterms:modified xsi:type="dcterms:W3CDTF">2025-12-10T08:09:31Z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1041-12.2.0.19307</vt:lpwstr>
  </property>
  <property fmtid="{D5CDD505-2E9C-101B-9397-08002B2CF9AE}" pid="3" name="ICV">
    <vt:lpwstr>DD3A6F3355FA4306A82E81F2D609D4E8_11</vt:lpwstr>
  </property>
</Properties>
</file>